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8640"/>
        <w:tblGridChange w:id="0">
          <w:tblGrid>
            <w:gridCol w:w="2268"/>
            <w:gridCol w:w="8640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Core Standard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20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  <w:t xml:space="preserve">1. Shared event: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might be the introduction to the task and description of the task the students will be experiencing?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  <w:t xml:space="preserve">2. Picture or model: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types of pictures might you see?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  <w:t xml:space="preserve">3. People-talk: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we think students are going to say about the shared experience?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4. Feature-talk: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terms, ideas, comments, do you think the students will bring out and what are the mathematical ideas you hope to flush out?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5. Symbolic representation: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some possible symbolic representations that may result from the feature talk?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514600" cy="91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32280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Math Literacy Initiative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Terri Bucci, Co-Director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Lee McEwan, Co-Director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Mrs. Meg Strong, Program Coordinator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Mike Mikusa, Specialist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514600" cy="914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100330</wp:posOffset>
            </wp:positionV>
            <wp:extent cx="1600200" cy="11430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